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right" w:pos="540"/>
          <w:tab w:val="right" w:pos="720"/>
        </w:tabs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ההתפתחות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באיזו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יתייחסו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אשלג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במאמרו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, </w:t>
        <w:br w:type="textWrapping"/>
      </w:r>
      <w:r w:rsidDel="00000000" w:rsidR="00000000" w:rsidRPr="00000000">
        <w:rPr>
          <w:rtl w:val="1"/>
        </w:rPr>
        <w:t xml:space="preserve">בוסר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כשמתבוננים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מתישהו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מתפתחים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ההתפתחות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מפותח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ריחני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כאיש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בהדרגה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במאורעות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ייקרא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לוהים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שתיארנו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בשונה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בתפוח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וסביבתיים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הרע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שאלה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גדולה</w:t>
      </w:r>
      <w:r w:rsidDel="00000000" w:rsidR="00000000" w:rsidRPr="00000000">
        <w:rPr>
          <w:b w:val="1"/>
          <w:rtl w:val="1"/>
        </w:rPr>
        <w:t xml:space="preserve">. "</w:t>
      </w:r>
      <w:r w:rsidDel="00000000" w:rsidR="00000000" w:rsidRPr="00000000">
        <w:rPr>
          <w:b w:val="1"/>
          <w:rtl w:val="1"/>
        </w:rPr>
        <w:t xml:space="preserve">בטרם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נכנסים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להתבונן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תיקון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האנושי</w:t>
      </w:r>
      <w:r w:rsidDel="00000000" w:rsidR="00000000" w:rsidRPr="00000000">
        <w:rPr>
          <w:b w:val="1"/>
          <w:rtl w:val="1"/>
        </w:rPr>
        <w:t xml:space="preserve">", </w:t>
      </w:r>
      <w:r w:rsidDel="00000000" w:rsidR="00000000" w:rsidRPr="00000000">
        <w:rPr>
          <w:b w:val="1"/>
          <w:rtl w:val="1"/>
        </w:rPr>
        <w:t xml:space="preserve">ממשיך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המאמר</w:t>
      </w:r>
      <w:r w:rsidDel="00000000" w:rsidR="00000000" w:rsidRPr="00000000">
        <w:rPr>
          <w:b w:val="1"/>
          <w:rtl w:val="1"/>
        </w:rPr>
        <w:t xml:space="preserve">, "</w:t>
      </w:r>
      <w:r w:rsidDel="00000000" w:rsidR="00000000" w:rsidRPr="00000000">
        <w:rPr>
          <w:b w:val="1"/>
          <w:rtl w:val="1"/>
        </w:rPr>
        <w:t xml:space="preserve">צריכים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המופשטים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ורע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כלומר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בהגדירנו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בתואר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רע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להבהיר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רע</w:t>
      </w:r>
      <w:r w:rsidDel="00000000" w:rsidR="00000000" w:rsidRPr="00000000">
        <w:rPr>
          <w:b w:val="1"/>
          <w:rtl w:val="1"/>
        </w:rPr>
        <w:t xml:space="preserve">".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b w:val="1"/>
          <w:rtl w:val="1"/>
        </w:rPr>
        <w:t xml:space="preserve">בדרך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מגדיר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ביחס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חווה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נורא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מגיעות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ההתנגשויות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בחיינו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רמה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לעומת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זאת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שהזכרנו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המציאות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בהרמוניה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למערכת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שלמה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הגדרות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לחלוטין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ולרע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החלקים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יוגדר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כטוב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כרע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שלום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הכללית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בחשיבות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עליונה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מדגיש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הסולם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&gt;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לייטמן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בתכניתנו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1029, </w:t>
      </w:r>
      <w:r w:rsidDel="00000000" w:rsidR="00000000" w:rsidRPr="00000000">
        <w:rPr>
          <w:rtl w:val="1"/>
        </w:rPr>
        <w:t xml:space="preserve">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ההתפתחות</w:t>
      </w:r>
      <w:r w:rsidDel="00000000" w:rsidR="00000000" w:rsidRPr="00000000">
        <w:rPr>
          <w:rtl w:val="1"/>
        </w:rPr>
        <w:t xml:space="preserve"> –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bit.ly/2lWwi0l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480" w:lineRule="auto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right" w:pos="540"/>
        <w:tab w:val="right" w:pos="720"/>
      </w:tabs>
      <w:spacing w:before="240" w:lineRule="auto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hd w:fill="cc99ff" w:val="clear"/>
      <w:spacing w:after="180" w:before="300" w:lineRule="auto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hd w:fill="92d050" w:val="clear"/>
      <w:spacing w:after="120" w:before="240" w:lineRule="auto"/>
      <w:jc w:val="left"/>
    </w:pPr>
    <w:rPr>
      <w:rFonts w:ascii="Cambria" w:cs="Cambria" w:eastAsia="Cambria" w:hAnsi="Cambria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hd w:fill="93cddc" w:val="clear"/>
      <w:spacing w:after="0" w:before="200" w:lineRule="auto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2lWwi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